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D442" w14:textId="77777777" w:rsidR="00611D2A" w:rsidRDefault="0003588E">
      <w:pPr>
        <w:spacing w:beforeAutospacing="1" w:afterAutospacing="1" w:line="240" w:lineRule="auto"/>
        <w:jc w:val="center"/>
        <w:outlineLvl w:val="0"/>
      </w:pPr>
      <w:r>
        <w:rPr>
          <w:rFonts w:eastAsia="Times New Roman" w:cstheme="minorHAnsi"/>
          <w:b/>
          <w:bCs/>
          <w:kern w:val="2"/>
          <w:sz w:val="36"/>
          <w:szCs w:val="36"/>
          <w:lang w:eastAsia="pl-PL"/>
        </w:rPr>
        <w:t>Polityka prywatności strony internetowej</w:t>
      </w:r>
    </w:p>
    <w:p w14:paraId="3765D79F" w14:textId="77777777" w:rsidR="00611D2A" w:rsidRDefault="0003588E">
      <w:pPr>
        <w:spacing w:beforeAutospacing="1" w:afterAutospacing="1" w:line="240" w:lineRule="auto"/>
        <w:jc w:val="center"/>
        <w:outlineLvl w:val="1"/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>www.jantarvia.pl</w:t>
      </w:r>
    </w:p>
    <w:p w14:paraId="590DBAF6" w14:textId="77777777" w:rsidR="00611D2A" w:rsidRDefault="0003588E">
      <w:pPr>
        <w:numPr>
          <w:ilvl w:val="0"/>
          <w:numId w:val="1"/>
        </w:numPr>
        <w:spacing w:beforeAutospacing="1"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14:paraId="7ECA6527" w14:textId="69834FE2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Administratorem danych osobowych zbieranych za pośrednictwem strony internetowej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www.jantarvia.pl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3E86">
        <w:rPr>
          <w:rFonts w:eastAsia="Times New Roman" w:cstheme="minorHAnsi"/>
          <w:sz w:val="24"/>
          <w:szCs w:val="24"/>
          <w:lang w:eastAsia="pl-PL"/>
        </w:rPr>
        <w:t xml:space="preserve">jest firma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JANTAR' VIA AUTOMOTIVE CAR MUSEUM</w:t>
      </w:r>
      <w:r>
        <w:rPr>
          <w:rFonts w:eastAsia="Times New Roman" w:cstheme="minorHAnsi"/>
          <w:sz w:val="24"/>
          <w:szCs w:val="24"/>
          <w:lang w:eastAsia="pl-PL"/>
        </w:rPr>
        <w:t xml:space="preserve">, adres siedziby: ul. Piaskowa 5, 82-103 Jantar (Mierzeja Wiślana), adres do doręczeń: , NIP: 5781437182, REGON: 170751651, wpisaną do Centralnej Ewidencji i Informacji o Działalności Gospodarczej, adres poczty elektronicznej: biuro@jantarvia.pl, dalej „Administrator”, będący/a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jednoczeście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Usługodawcą. , miejsce wykonywania działalności: ul. Piaskowa 5, 82-103 Jantar (Mierzeja Wiślana), adres do doręczeń: ul. Piaskowa 5, 82-103 Jantar (Mierzeja Wiślana), NIP: 5781437182, REGON: 170751651, adres poczty elektronicznej (e-mail): biuro@jantarvia.pl, zwany/a dalej "Administratorem". </w:t>
      </w:r>
    </w:p>
    <w:p w14:paraId="359777B0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Dane osobowe zbierane przez Administratora za pośrednictwem strony internetowej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oraz ustawą o ochronie danych osobowych z dnia 10 maja 2018 r. </w:t>
      </w:r>
    </w:p>
    <w:p w14:paraId="0ED771C8" w14:textId="77777777" w:rsidR="00611D2A" w:rsidRDefault="0003588E">
      <w:pPr>
        <w:numPr>
          <w:ilvl w:val="0"/>
          <w:numId w:val="1"/>
        </w:numPr>
        <w:spacing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RODZAJ PRZETWARZANYCH DANYCH OSOBOWYCH, CEL I ZAKRES ZBIERANIA DANYCH</w:t>
      </w:r>
    </w:p>
    <w:p w14:paraId="7A34CD22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CEL PRZETWARZANIA I PODSTAWA PRAWNA.</w:t>
      </w:r>
      <w:r>
        <w:rPr>
          <w:rFonts w:eastAsia="Times New Roman" w:cstheme="minorHAnsi"/>
          <w:sz w:val="24"/>
          <w:szCs w:val="24"/>
          <w:lang w:eastAsia="pl-PL"/>
        </w:rPr>
        <w:t xml:space="preserve"> Administrator przetwarza dane osobowe za pośrednictwem strony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www.jantarvia.pl</w:t>
      </w:r>
      <w:r>
        <w:rPr>
          <w:rFonts w:eastAsia="Times New Roman" w:cstheme="minorHAnsi"/>
          <w:sz w:val="24"/>
          <w:szCs w:val="24"/>
          <w:lang w:eastAsia="pl-PL"/>
        </w:rPr>
        <w:t xml:space="preserve"> w przypadku: </w:t>
      </w:r>
    </w:p>
    <w:p w14:paraId="56AE9C7E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skorzystania przez użytkownika z formularza kontaktowego. Dane osobowe są przetwarzane na podstawie art. 6 ust. 1 lit. f) RODO jako prawnie usprawiedliwiony interes Administratora.</w:t>
      </w:r>
    </w:p>
    <w:p w14:paraId="03B67375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RODZAJ PRZETWARZANYCH DANYCH OSOBOWYCH. </w:t>
      </w:r>
      <w:r>
        <w:rPr>
          <w:rFonts w:eastAsia="Times New Roman" w:cstheme="minorHAnsi"/>
          <w:sz w:val="24"/>
          <w:szCs w:val="24"/>
          <w:lang w:eastAsia="pl-PL"/>
        </w:rPr>
        <w:t xml:space="preserve">Administrator przetwarza następujące kategorie danych osobowych użytkownika: </w:t>
      </w:r>
    </w:p>
    <w:p w14:paraId="0977EF47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Imię i nazwisko, </w:t>
      </w:r>
    </w:p>
    <w:p w14:paraId="59232ADE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e-mail, </w:t>
      </w:r>
    </w:p>
    <w:p w14:paraId="353069B4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Numer telefonu, </w:t>
      </w:r>
    </w:p>
    <w:p w14:paraId="1D53FD2D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OKRES ARCHIWIZACJI DANYCH OSOBOWYCH.</w:t>
      </w:r>
      <w:r>
        <w:rPr>
          <w:rFonts w:eastAsia="Times New Roman" w:cstheme="minorHAnsi"/>
          <w:sz w:val="24"/>
          <w:szCs w:val="24"/>
          <w:lang w:eastAsia="pl-PL"/>
        </w:rPr>
        <w:t xml:space="preserve"> Dane osobowe użytkowników przechowywane są przez Administratora: </w:t>
      </w:r>
    </w:p>
    <w:p w14:paraId="3A247892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w przypadku, gdy podstawą przetwarzania danych jest wykonanie umowy, tak długo, jak jest to niezbędne do wykonania umowy, a po tym czasie przez okres odpowiadający okresowi przedawnienia roszczeń. Jeżeli przepis szczególny nie stanowi inaczej, termin przedawnienia wynosi lat sześć, a dla roszczeń o świadczenia okresowe oraz roszczeń związanych z prowadzeniem działalności gospodarczej - trzy lata.</w:t>
      </w:r>
    </w:p>
    <w:p w14:paraId="24324EFC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w przypadku, gdy podstawą przetwarzania danych jest zgoda, tak długo, aż zgoda nie zostanie odwołana, a po odwołaniu zgody przez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okres czasu odpowiadający okresowi przedawnienia roszczeń jakie może podnosić Administrator i jakie mogą być podnoszone wobec niego. Jeżeli przepis szczególny nie stanowi inaczej, termin przedawnienia wynosi lat sześć, a dla roszczeń o świadczenia okresowe oraz roszczeń związanych z prowadzeniem działalności gospodarczej - trzy lata.</w:t>
      </w:r>
    </w:p>
    <w:p w14:paraId="390CDA23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Podczas korzystania ze strony internetowej mogą być pobierane dodatkowe informacje, w szczególności: adres IP przypisany do komputera użytkownika lub zewnętrzny adres IP dostawcy Internetu, nazwa domeny, rodzaj przeglądarki, czas dostępu, typ systemu operacyjnego.</w:t>
      </w:r>
    </w:p>
    <w:p w14:paraId="3D193A38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Od użytkowników mogą być także gromadzone dane nawigacyjne, w tym informacje o linkach i odnośnikach, w które zdecydują się kliknąć lub innych czynnościach, podejmowanych na stronie internetowej. Podstawą prawną tego rodzaju czynności jest prawnie uzasadniony interes Administratora (art. 6 ust. 1 lit. f RODO), polegający na ułatwieniu korzystania z usług świadczonych drogą elektroniczną oraz na poprawie funkcjonalności tych usług.</w:t>
      </w:r>
    </w:p>
    <w:p w14:paraId="0BDB5774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Podanie danych osobowych przez użytkownika jest dobrowolne.</w:t>
      </w:r>
    </w:p>
    <w:p w14:paraId="78B6C033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i postaw.</w:t>
      </w:r>
    </w:p>
    <w:p w14:paraId="15F8542C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 dokłada szczególnej staranności w celu ochrony interesów osób, których dane dotyczą, a w szczególności zapewnia, że zbierane przez niego dane są: </w:t>
      </w:r>
    </w:p>
    <w:p w14:paraId="72C1E855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przetwarzane zgodnie z prawem, </w:t>
      </w:r>
    </w:p>
    <w:p w14:paraId="13FB089B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zbierane dla oznaczonych, zgodnych z prawem celów i niepoddawane dalszemu przetwarzaniu niezgodnemu z tymi celami,</w:t>
      </w:r>
    </w:p>
    <w:p w14:paraId="2085E260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4B4A3BF7" w14:textId="77777777" w:rsidR="00611D2A" w:rsidRDefault="0003588E">
      <w:pPr>
        <w:numPr>
          <w:ilvl w:val="0"/>
          <w:numId w:val="1"/>
        </w:numPr>
        <w:spacing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UDOSTĘPNIENIE DANYCH OSOBOWYCH</w:t>
      </w:r>
    </w:p>
    <w:p w14:paraId="79EB4A52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Dane osobowe użytkowników przekazywane są dostawcom usług, z których korzysta Administrator przy prowadzeniu strony internetowej. Dostawcy usług, którym przekazywane są dane osobowe, w zależności od uzgodnień umownych i okoliczności, albo podlegają poleceniom Administratora co do celów i sposobów przetwarzania tych danych (podmioty przetwarzające) albo samodzielnie określają cele i sposoby ich przetwarzania (administratorzy).</w:t>
      </w:r>
    </w:p>
    <w:p w14:paraId="528F1297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Dane osobowe użytkowników są przechowywane wyłącznie na terenie Europejskiego Obszaru Gospodarczego (EOG).</w:t>
      </w:r>
    </w:p>
    <w:p w14:paraId="55C90CC9" w14:textId="77777777" w:rsidR="00611D2A" w:rsidRDefault="0003588E">
      <w:pPr>
        <w:numPr>
          <w:ilvl w:val="0"/>
          <w:numId w:val="1"/>
        </w:numPr>
        <w:spacing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PRAWO KONTROLI, DOSTĘPU DO TREŚCI WŁASNYCH DANYCH ORAZ ICH POPRAWIANIA</w:t>
      </w:r>
    </w:p>
    <w:p w14:paraId="1CFC645F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Osoba, której dane dotyczą, ma prawo dostępu do treści swoich danych osobowych oraz prawo ich sprostowania, usunięcia, ograniczenia przetwarzania, prawo do przenoszenia danych, prawo wniesienia sprzeciwu,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prawo do cofnięcia zgody w dowolnym momencie bez wpływu na zgodność z prawem przetwarzania, którego dokonano na podstawie zgody przed jej cofnięciem.</w:t>
      </w:r>
    </w:p>
    <w:p w14:paraId="19A352D3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Podstawy prawne żądania użytkownika: </w:t>
      </w:r>
    </w:p>
    <w:p w14:paraId="29AD38FA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Dostęp do danych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15 RODO</w:t>
      </w:r>
    </w:p>
    <w:p w14:paraId="756F9DDE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Sprostowanie danych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16 RODO.</w:t>
      </w:r>
    </w:p>
    <w:p w14:paraId="56083FB0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Usunięcie danych (tzw. prawo do bycia zapomnianym)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17 RODO.</w:t>
      </w:r>
    </w:p>
    <w:p w14:paraId="15802E76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Ograniczenie przetwarzania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18 RODO.</w:t>
      </w:r>
    </w:p>
    <w:p w14:paraId="71833171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Przeniesienie danych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20 RODO.</w:t>
      </w:r>
    </w:p>
    <w:p w14:paraId="510CAE51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Sprzeciw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21 RODO</w:t>
      </w:r>
    </w:p>
    <w:p w14:paraId="6E88336A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Cofnięcie zgody</w:t>
      </w:r>
      <w:r>
        <w:rPr>
          <w:rFonts w:eastAsia="Times New Roman" w:cstheme="minorHAnsi"/>
          <w:sz w:val="24"/>
          <w:szCs w:val="24"/>
          <w:lang w:eastAsia="pl-PL"/>
        </w:rPr>
        <w:t xml:space="preserve"> – art. 7 ust. 3 RODO.</w:t>
      </w:r>
    </w:p>
    <w:p w14:paraId="7A29491D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W celu realizacji uprawnień, o których mowa w pkt 2 można wysłać stosowną wiadomość e-mail na adres: biuro@jantarvia.pl.</w:t>
      </w:r>
    </w:p>
    <w:p w14:paraId="1CE6D50C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W sytuacji wystąpienia przez użytkownika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użytkownika uprzednio w terminie miesiąca od otrzymania żądania - o zamierzonym przedłużeniu terminu oraz jego przyczynach.</w:t>
      </w:r>
    </w:p>
    <w:p w14:paraId="5E87FC68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W przypadku stwierdzenia, że przetwarzanie danych osobowych narusza przepisy RODO, osoba, której dane dotyczą, ma prawo wnieść skargę do Prezesa Urzędu Ochrony Danych Osobowych.</w:t>
      </w:r>
    </w:p>
    <w:p w14:paraId="21EB13D3" w14:textId="77777777" w:rsidR="00611D2A" w:rsidRDefault="0003588E">
      <w:pPr>
        <w:numPr>
          <w:ilvl w:val="0"/>
          <w:numId w:val="1"/>
        </w:numPr>
        <w:spacing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PLIKI "COOKIES"</w:t>
      </w:r>
    </w:p>
    <w:p w14:paraId="52644AA9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Strona Administratora używa plików „cookies”.</w:t>
      </w:r>
    </w:p>
    <w:p w14:paraId="6C911A65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Instalacja plików „cookies” jest konieczna do prawidłowego świadczenia usług na stronie internetowej. W plikach „cookies" znajdują się informacje niezbędne do prawidłowego funkcjonowania strony, a także dają one także możliwość opracowywania ogólnych statystyk odwiedzin strony internetowej.</w:t>
      </w:r>
    </w:p>
    <w:p w14:paraId="15AE8F34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W ramach strony stosowane są rodzaje plików "cookies": stałe </w:t>
      </w:r>
    </w:p>
    <w:p w14:paraId="64B870C4" w14:textId="77777777" w:rsidR="00611D2A" w:rsidRDefault="0003588E">
      <w:pPr>
        <w:numPr>
          <w:ilvl w:val="2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„Stałe” pliki „cookies” przechowywane są w urządzeniu końcowym użytkownika przez czas określony w parametrach plików „cookies” lub do czasu ich usunięcia przez użytkownika.</w:t>
      </w:r>
    </w:p>
    <w:p w14:paraId="12CAF5DC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Administrator wykorzystuje własne pliki cookies w celu lepszego poznania sposobu interakcji użytkownika w zakresie zawartości strony. Pliki gromadzą informacje o sposobie korzystania ze strony internetowej przez użytkownika, typie strony, z jakiej użytkownik został przekierowany oraz liczbie odwiedzin i czasie wizyty użytkownika na stronie internetowej. Informacje te nie rejestrują konkretnych danych osobowych użytkownika, lecz służą do opracowania statystyk korzystania ze strony.</w:t>
      </w:r>
    </w:p>
    <w:p w14:paraId="0F46A68E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Użytkownik ma prawo zadecydowania w zakresie dostępu plików „cookies” do swojego komputera poprzez ich uprzedni wybór w oknie swojej przeglądarki. Szczegółowe informacje o możliwości i sposobach obsługi plików „cookies” dostępne są w ustawieniach oprogramowania (przeglądarki internetowej).</w:t>
      </w:r>
    </w:p>
    <w:p w14:paraId="247060D1" w14:textId="77777777" w:rsidR="00611D2A" w:rsidRDefault="0003588E">
      <w:pPr>
        <w:numPr>
          <w:ilvl w:val="0"/>
          <w:numId w:val="1"/>
        </w:numPr>
        <w:spacing w:after="0" w:line="240" w:lineRule="auto"/>
        <w:outlineLvl w:val="3"/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POSTANOWIENIA KOŃCOWE</w:t>
      </w:r>
    </w:p>
    <w:p w14:paraId="063EF37E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380FD9C7" w14:textId="77777777" w:rsidR="00611D2A" w:rsidRDefault="0003588E">
      <w:pPr>
        <w:numPr>
          <w:ilvl w:val="1"/>
          <w:numId w:val="1"/>
        </w:numPr>
        <w:spacing w:after="0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Administrator udostępnia odpowiednie środki techniczne zapobiegające pozyskiwaniu i modyfikowaniu przez osoby nieuprawnione, danych osobowych przesyłanych drogą elektroniczną.</w:t>
      </w:r>
    </w:p>
    <w:p w14:paraId="53227930" w14:textId="77777777" w:rsidR="00611D2A" w:rsidRDefault="0003588E">
      <w:pPr>
        <w:numPr>
          <w:ilvl w:val="1"/>
          <w:numId w:val="1"/>
        </w:numPr>
        <w:spacing w:afterAutospacing="1" w:line="240" w:lineRule="auto"/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Polityką prywatności stosuje się odpowiednio przepisy RODO oraz inne właściwe przepisy prawa polskiego.</w:t>
      </w:r>
    </w:p>
    <w:p w14:paraId="6C9014BB" w14:textId="77777777" w:rsidR="00611D2A" w:rsidRDefault="00611D2A"/>
    <w:sectPr w:rsidR="00611D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5695"/>
    <w:multiLevelType w:val="multilevel"/>
    <w:tmpl w:val="9F087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6412FD"/>
    <w:multiLevelType w:val="multilevel"/>
    <w:tmpl w:val="6EE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2A"/>
    <w:rsid w:val="0003588E"/>
    <w:rsid w:val="00473E86"/>
    <w:rsid w:val="006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BD9"/>
  <w15:docId w15:val="{501E434B-723C-409A-A256-43680A0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341C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41C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341C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341C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341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341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1CB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Jurkiewicz</dc:creator>
  <dc:description/>
  <cp:lastModifiedBy>Krzysztof Jurkiewicz</cp:lastModifiedBy>
  <cp:revision>4</cp:revision>
  <dcterms:created xsi:type="dcterms:W3CDTF">2021-11-30T13:51:00Z</dcterms:created>
  <dcterms:modified xsi:type="dcterms:W3CDTF">2022-02-03T14:49:00Z</dcterms:modified>
  <dc:language>pl-PL</dc:language>
</cp:coreProperties>
</file>